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autofit"/>
        <w:tblCellMar>
          <w:left w:w="108" w:type="dxa"/>
          <w:right w:w="108" w:type="dxa"/>
        </w:tblCellMar>
        <w:tblLook w:val="04A0"/>
      </w:tblPr>
      <w:tblGrid>
        <w:gridCol w:w="263"/>
        <w:gridCol w:w="263"/>
        <w:gridCol w:w="5250"/>
        <w:gridCol w:w="263"/>
        <w:gridCol w:w="263"/>
        <w:gridCol w:w="5250"/>
        <w:gridCol w:w="263"/>
      </w:tblGrid>
      <w:tr>
        <w:trPr>
          <w:trHeight w:val="60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shd w:val="clear" w:color="FFFFFF" w:fill="auto"/>
            <w:textDirection w:val="lrTb"/>
            <w:vAlign w:val="bottom"/>
          </w:tcPr>
          <w:p>
            <w:pPr>
              <w:wordWrap w:val="1"/>
              <w:rPr>
                <w:rFonts w:ascii="Times New Roman" w:hAnsi="Times New Roman"/>
                <w:sz w:val="20"/>
                <w:szCs w:val="20"/>
              </w:rPr>
            </w:pPr>
          </w:p>
        </w:tc>
        <w:tc>
          <w:tcPr>
            <w:tcW w:w="5250" w:type="dxa"/>
            <w:shd w:val="clear" w:color="FFFFFF" w:fill="auto"/>
            <w:textDirection w:val="lrTb"/>
            <w:vAlign w:val="bottom"/>
          </w:tcPr>
          <w:p>
            <w:pPr>
              <w:wordWrap w:val="1"/>
              <w:rPr>
                <w:rFonts w:ascii="Times New Roman" w:hAnsi="Times New Roman"/>
                <w:sz w:val="20"/>
                <w:szCs w:val="20"/>
              </w:rPr>
            </w:pPr>
          </w:p>
        </w:tc>
        <w:tc>
          <w:tcPr>
            <w:tcW w:w="263" w:type="dxa"/>
            <w:shd w:val="clear" w:color="FFFFFF" w:fill="auto"/>
            <w:textDirection w:val="lrTb"/>
            <w:vAlign w:val="bottom"/>
          </w:tcPr>
          <w:p>
            <w:pPr>
              <w:wordWrap w:val="1"/>
              <w:rPr>
                <w:rFonts w:ascii="Times New Roman" w:hAnsi="Times New Roman"/>
                <w:sz w:val="20"/>
                <w:szCs w:val="20"/>
              </w:rPr>
            </w:pPr>
          </w:p>
        </w:tc>
        <w:tc>
          <w:tcPr>
            <w:tcW w:w="263" w:type="dxa"/>
            <w:shd w:val="clear" w:color="FFFFFF" w:fill="auto"/>
            <w:textDirection w:val="lrTb"/>
            <w:vAlign w:val="bottom"/>
          </w:tcPr>
          <w:p>
            <w:pPr>
              <w:wordWrap w:val="1"/>
              <w:rPr>
                <w:rFonts w:ascii="Times New Roman" w:hAnsi="Times New Roman"/>
                <w:sz w:val="20"/>
                <w:szCs w:val="20"/>
              </w:rPr>
            </w:pPr>
          </w:p>
        </w:tc>
        <w:tc>
          <w:tcPr>
            <w:tcW w:w="5250" w:type="dxa"/>
            <w:shd w:val="clear" w:color="FFFFFF" w:fill="auto"/>
            <w:textDirection w:val="lrTb"/>
            <w:vAlign w:val="bottom"/>
          </w:tcPr>
          <w:p>
            <w:pPr>
              <w:wordWrap w:val="1"/>
              <w:rPr>
                <w:rFonts w:ascii="Times New Roman" w:hAnsi="Times New Roman"/>
                <w:sz w:val="20"/>
                <w:szCs w:val="20"/>
              </w:rPr>
            </w:pPr>
          </w:p>
        </w:tc>
        <w:tc>
          <w:tcPr>
            <w:tcW w:w="263" w:type="dxa"/>
            <w:shd w:val="clear" w:color="FFFFFF" w:fill="auto"/>
            <w:textDirection w:val="lrTb"/>
            <w:vAlign w:val="bottom"/>
          </w:tcPr>
          <w:p>
            <w:pPr>
              <w:wordWrap w:val="1"/>
              <w:rPr>
                <w:rFonts w:ascii="Times New Roman" w:hAnsi="Times New Roman"/>
                <w:sz w:val="20"/>
                <w:szCs w:val="20"/>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11552" w:type="dxa"/>
            <w:gridSpan w:val="6"/>
            <w:shd w:val="clear" w:color="FFFFFF" w:fill="auto"/>
            <w:textDirection w:val="lrTb"/>
            <w:vAlign w:val="bottom"/>
          </w:tcPr>
          <w:p>
            <w:pPr>
              <w:wordWrap w:val="1"/>
              <w:jc w:val="center"/>
              <w:rPr>
                <w:rFonts w:ascii="Times New Roman" w:hAnsi="Times New Roman"/>
                <w:b/>
                <w:sz w:val="28"/>
                <w:szCs w:val="28"/>
              </w:rPr>
            </w:pPr>
            <w:r>
              <w:rPr>
                <w:rFonts w:ascii="Times New Roman" w:hAnsi="Times New Roman"/>
                <w:b/>
                <w:sz w:val="28"/>
                <w:szCs w:val="28"/>
              </w:rPr>
              <w:t>Договор поставки металлопроката № ПКФ-2021/0000</w:t>
            </w: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11552" w:type="dxa"/>
            <w:gridSpan w:val="6"/>
            <w:shd w:val="clear" w:color="FFFFFF" w:fill="auto"/>
            <w:textDirection w:val="lrTb"/>
            <w:vAlign w:val="bottom"/>
          </w:tcPr>
          <w:p>
            <w:pPr>
              <w:wordWrap w:val="1"/>
              <w:jc w:val="center"/>
              <w:rPr>
                <w:rFonts w:ascii="Times New Roman" w:hAnsi="Times New Roman"/>
                <w:b/>
                <w:sz w:val="24"/>
                <w:szCs w:val="24"/>
              </w:rPr>
            </w:pPr>
            <w:r>
              <w:rPr>
                <w:rFonts w:ascii="Times New Roman" w:hAnsi="Times New Roman"/>
                <w:b/>
                <w:sz w:val="24"/>
                <w:szCs w:val="24"/>
              </w:rPr>
              <w:t>с условием полной предоплаты товара</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5776" w:type="dxa"/>
            <w:gridSpan w:val="3"/>
            <w:shd w:val="clear" w:color="FFFFFF" w:fill="auto"/>
            <w:textDirection w:val="lrTb"/>
            <w:vAlign w:val="bottom"/>
          </w:tcPr>
          <w:p>
            <w:pPr>
              <w:wordWrap w:val="1"/>
              <w:jc w:val="left"/>
              <w:rPr>
                <w:rFonts w:ascii="Times New Roman" w:hAnsi="Times New Roman"/>
                <w:b/>
                <w:sz w:val="22"/>
                <w:szCs w:val="22"/>
              </w:rPr>
            </w:pPr>
            <w:r>
              <w:rPr>
                <w:rFonts w:ascii="Times New Roman" w:hAnsi="Times New Roman"/>
                <w:b/>
                <w:sz w:val="22"/>
                <w:szCs w:val="22"/>
              </w:rPr>
              <w:t>г. Москва</w:t>
            </w:r>
          </w:p>
        </w:tc>
        <w:tc>
          <w:tcPr>
            <w:tcW w:w="5776" w:type="dxa"/>
            <w:gridSpan w:val="3"/>
            <w:shd w:val="clear" w:color="FFFFFF" w:fill="auto"/>
            <w:textDirection w:val="lrTb"/>
            <w:vAlign w:val="bottom"/>
          </w:tcPr>
          <w:p>
            <w:pPr>
              <w:wordWrap w:val="1"/>
              <w:jc w:val="right"/>
              <w:rPr>
                <w:rFonts w:ascii="Times New Roman" w:hAnsi="Times New Roman"/>
                <w:b/>
                <w:sz w:val="22"/>
                <w:szCs w:val="22"/>
              </w:rPr>
            </w:pPr>
            <w:r>
              <w:rPr>
                <w:rFonts w:ascii="Times New Roman" w:hAnsi="Times New Roman"/>
                <w:b/>
                <w:sz w:val="22"/>
                <w:szCs w:val="22"/>
              </w:rPr>
              <w:t>"00" февраля 2021 г.</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Общество с ограниченной ответственностью "ПРОИЗВОДСТВЕННО-КОММЕРЧЕСКАЯ ФИРМА "МЕТИНВЕСТ-СЕРВИС", в лице Генерального директора Гагуа Давида Мерабовича, действующего на основании Устава, именуемое в дальнейшем Продавец, с одной стороны и _______________________________________, в лице Генерального директора ____________________________________________________, действующего на основании Устава, именуемое в дальнейшем Покупатель, с другой стороны, заключили настоящий Договор о нижеследующем:</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center"/>
              <w:rPr>
                <w:rFonts w:ascii="Times New Roman" w:hAnsi="Times New Roman"/>
                <w:b/>
                <w:sz w:val="22"/>
                <w:szCs w:val="22"/>
              </w:rPr>
            </w:pPr>
            <w:r>
              <w:rPr>
                <w:rFonts w:ascii="Times New Roman" w:hAnsi="Times New Roman"/>
                <w:b/>
                <w:sz w:val="22"/>
                <w:szCs w:val="22"/>
              </w:rPr>
              <w:t>1. ПРЕДМЕТ ДОГОВОРА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1.1. Продавец обязуется передать в собственность Покупателя металлопродукцию, а покупатель – принять и оплатить металлопродукцию (далее именуемую Товар).</w:t>
              <w:br/>
              <w:t>
1.2. Конкретное наименование, ассортимент, количество, сроки и условия поставки, цена за тонну и общая сумма за Товар указывается в прилагаемых к настоящему договору Спецификациях и (или) Счетах, которые являются неотъемлемой частью договора. </w:t>
              <w:br/>
              <w:t>
1.3. При поставке Товара на условиях предоплаты все существенные условия Договора могут быть указаны в счете-оферте Продавца. В этом случае факт оплаты Покупателем счета будет свидетельствовать о согласовании Сторонами всех условий договора без подписания Спецификации.</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center"/>
              <w:rPr>
                <w:rFonts w:ascii="Times New Roman" w:hAnsi="Times New Roman"/>
                <w:b/>
                <w:sz w:val="22"/>
                <w:szCs w:val="22"/>
              </w:rPr>
            </w:pPr>
            <w:r>
              <w:rPr>
                <w:rFonts w:ascii="Times New Roman" w:hAnsi="Times New Roman"/>
                <w:b/>
                <w:sz w:val="22"/>
                <w:szCs w:val="22"/>
              </w:rPr>
              <w:t>2. УСЛОВИЯ ПОСТАВКИ ТОВАРА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2.1. Поставка Товара, если иное не согласовано сторонами дополнительно осуществляется на условиях самовывоза. Погрузка осуществляется в бортовые открытые автомашины. Отгрузка Товара осуществляется партиями. Объем одной партии – количество товара, отгруженное в одно транспортное средство. По согласованию сторон поставка может осуществляться автотранспортом Продавца или ж/д транспортом по указанным Покупателем реквизитам. Отгрузка производится при наличии оригинала доверенности и документа удостоверяющего личность.</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2.2. При отгрузке Товара со складов Продавца отгрузка Продавцом и приемка Покупателем всех видов металлопродукции осуществляется по физическому весу в метрических тоннах, определяемому в соответствии с данными электронных весов, за исключением электросварных, водогазопроводных труб, профильных труб с пометкой ТМ, листов г/к Ст3 толщиной 14-30мм и листов г/к 09Г2С толщиной 14-25мм, отгрузка и приемка которых осуществляется по теоретическому весу. Отгрузка и приемка профнастила осуществляется по теоретическому весу согласно ГОСТ 24045. Отгрузка и приемка сетки осуществляется в соответствии с площадью изделия в квадратных метрах. При отгрузке Товара напрямую с завода-изготовителя приемка Товара осуществляется в соответствии с сертификатом качества завода-изготовителя – Товар, отгруженный заводом-изготовителем по теоретической массе, принимается по теоретической массе.</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2.3. Продавец обязан осуществить поставку очередной партии Товара в адрес Грузополучателя в срок, согласованный сторонами в Спецификации. Продавец имеет право на досрочную поставку.</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2.4. Срок поставки Товара, предусмотренный п.2.3. настоящего договора, может быть продлен по решению Продавца в случае отсутствия поступления в установленный срок телеграммы от ж/д станции Грузополучателя о готовности принять груз или несвоевременного сообщения Покупателем отгрузочных реквизитов Грузополучателей. Отгрузочные реквизиты должны быть сообщены Продавцу в письменной форме за подписью уполномоченного лица Покупателя.</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2.5. Моментом исполнения Продавцом обязательств по поставке Товара и моментом перехода права собственности к Покупателю считаются: - при поставке ж/д транспортом – с момента передачи продукции первому перевозчику, согласно даты штемпеля станции отправления в ж/д накладной; - при доставке автотранспортом, предоставленным Продавцом, - дата погрузки Товара в транспортное средство на складе Продавца (грузоотправителя), указанная в транспортной накладной; - при самовывозе – с момента передачи Товара на складе Продавца и подписания УПД.</w:t>
              <w:br/>
              <w:t>
</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center"/>
              <w:rPr>
                <w:rFonts w:ascii="Times New Roman" w:hAnsi="Times New Roman"/>
                <w:b/>
                <w:sz w:val="22"/>
                <w:szCs w:val="22"/>
              </w:rPr>
            </w:pPr>
            <w:r>
              <w:rPr>
                <w:rFonts w:ascii="Times New Roman" w:hAnsi="Times New Roman"/>
                <w:b/>
                <w:sz w:val="22"/>
                <w:szCs w:val="22"/>
              </w:rPr>
              <w:t>3. КАЧЕСТВО ТОВАРА И ПОРЯДОК ПРИЕМКИ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3.1. Качество поставляемого Товара должно соответствовать ГОСТу или ТУ и подтверждаться сертификатом качества товара.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3.2. В соответствии с настоящим Договором Товар принимается Покупателем:</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 xml:space="preserve">  - по качеству: в соответствии с сертификатом качества завода-изготовителя;</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 xml:space="preserve">  - по количеству: согласно товаросопроводительными документами Продавца.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В условиях самовывоза (выборки продукции) приемка Товара по количеству, а в случае поставки Товара в упаковке по тарным местам, осуществляется на складе Продавца непосредственно в момент приемки. После приемки Товара претензии по количеству не принимаются.</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3.3. В условиях самовывоза (выборки Товара) приемка Товара по качеству производится путем визуального осмотра. После приемки Товара претензии по явным видимым дефектам Товара не принимаются.</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3.4. Приемка Товара Покупателем (Грузополучателем)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 апреля 1966г. N П-7) (с изменениями, внесенными постановлениями Госарбитража СССР от 29 декабря 1973 г. N 81и от 14 ноября 1974 г. N 98) (с изменениями от 23 июля 1975 г.) и Инструкцией о порядке приемки продукции производственно-технического назначения и товара народного потребления по количеству (утверждена постановлением Госарбитража СССР от 15 июня 1965 г. N П-6) (с изменениями от 29 декабря 1973 г., 14 ноября 1974 г., 23 июля 1975 г.). При обнаружении недостачи или несоответствия качества Товара условиям настоящего Договора вызов представителя Продавца обязателен.</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3.5. Претензии относительно количества, качества или ассортимента поставленного Товара Покупатель обязан предъявить Продавцу по скрытым недостаткам - в течение 30 дней (тридцати) календарных дней со дня получения Товара, но не позднее – 3 (трех) месяцев с даты поставки Товара. Указанные сроки являются пресекательными, по окончании которых претензии к рассмотрению не принимаются.</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3.6. претензии Покупателя по количеству и качеству продукции рассматриваются Продавцом в течение – 30 (тридцати) календарных дней со дня получения и Покупателю дается письменный ответ.</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3.7. гарантийные обязательства Продавца определяются технической документацией на продукцию. В случае отсутствия в технической документации гарантийных сроков на продукцию (сроков годности, сроков эксплуатации и т.д.) Продавец не берет на себя дополнительные гарантийные обязательства. Правила ч.2 ст.477 ГК РФ на продукцию не распространяется.</w:t>
              <w:br/>
              <w:t>
</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center"/>
              <w:rPr>
                <w:rFonts w:ascii="Times New Roman" w:hAnsi="Times New Roman"/>
                <w:b/>
                <w:sz w:val="22"/>
                <w:szCs w:val="22"/>
              </w:rPr>
            </w:pPr>
            <w:r>
              <w:rPr>
                <w:rFonts w:ascii="Times New Roman" w:hAnsi="Times New Roman"/>
                <w:b/>
                <w:sz w:val="22"/>
                <w:szCs w:val="22"/>
              </w:rPr>
              <w:t>4. РАСЧЕТ СТОРОН</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4.1. Оплата каждой партии товара производится в рублях. Покупатель оплачивает 100% от стоимости каждой партии товара на основании выставленного Продавцом счета. Если Покупатель не произвел оплату продукции в срок, предусмотренный настоящим договором либо установленный в соответствующей спецификации, то обязанность Покупателя по оплате продукции возникает со следующего календарного дня от даты выставления счета на продукцию.</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4.2. Продавец обязуется выставить счет на оплату 100% от стоимости партии товара в течение 2 (двух) дней с момента подписания сторонами Приложения к настоящему Договору, определяющего количество и ассортимент товара в этой партии. Счет действителен в течение одного банковского дня, если иное не указано в спецификации.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4.3. Оплата Товара производится Покупателем платежным поручением путем перечисления денежных средств на расчетный счет Продавца либо внесением денежных средств в кассу Продавца и считается произведенной с момента зачисления денежных средств в оплату этой партии от Покупателя на расчетный счет, указанный Продавцом.</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4.5. При оплате Счетов ссылка на номер настоящего Договора обязательна. В назначении платежа должно быть указано: Оплата за Товар по счету №_____ в рамках договора.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4.6. В том случае, если от Покупателя поступают денежные средства в оплату без указания конкретной партии товара, за которую осуществлен платеж, то суммы по данному платежу засчитываются Продавцом в счет погашения имеющейся задолженности Покупателя перед Продавцом вне зависимости от назначения платежа в порядке календарной очередности.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4.7. По требованию любой из сторон проводится сверка взаиморасчетов с подписанием акта сверки.</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center"/>
              <w:rPr>
                <w:rFonts w:ascii="Times New Roman" w:hAnsi="Times New Roman"/>
                <w:b/>
                <w:sz w:val="22"/>
                <w:szCs w:val="22"/>
              </w:rPr>
            </w:pPr>
            <w:r>
              <w:rPr>
                <w:rFonts w:ascii="Times New Roman" w:hAnsi="Times New Roman"/>
                <w:b/>
                <w:sz w:val="22"/>
                <w:szCs w:val="22"/>
              </w:rPr>
              <w:t>5. ОТВЕТСТВЕННОСТЬ СТОРОН</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5.1.При неисполнении Продавцом сроков по отгрузке Товара, за исключением случаев, прямо предусмотренных в договоре, последний выплачивает Покупателю штрафную неустойку (пени) в размере 0,1 % от стоимости не поставленного (не отгруженного) в срок Товара за каждый день просрочки.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5.2. В случае неисполнения Покупателем сроков оплаты за Товар указанных п.4.1. и 4.2. настоящего Договора, Покупатель выплачивает Продавцу штрафную неустойку (пени) в размере 0.1% от суммы просроченного платежа за каждый день просрочки.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5.3. В случае не исполнения Покупателем сроков оплаты за Товар указанных п. 4.1 и 4.2. настоящего договора Продавец имеет право изменить в одностороннем порядке цену за Товар.</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5.4. При просрочке Покупателем оплаты за Товар указанных п. 4.1 и 4.2. настоящего договора Продавец имеет право приостановить поставку Товара и возобновить поставку Товара после полного погашения задолженности Покупателя перед Продавцом, что не является нарушением (недопоставкой) со стороны Продавца.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5.5. В случае если Покупатель в срок, согласованный сторонами, не осуществит выборку заказанного Товара, он оплачивает расходы Продавца по хранению Товара в размере 50 рублей за тонну Товара за каждый день хранения.</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5.6. За просрочку вывоза (выборки) Товара со склада Продавца Покупатель уплачивает пеню из расчета – 0,1 (ноль целых одна десятая % от стоимости не вывезенного в срок Товара за каждый день просрочки. Указанная пеня уплачивается до момента фактического вывоза Товара. При неуплате или ненадлежащей уплате указанной пени Продавец вправе не отгружать просроченный вывозом Товара.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В случае просрочки Покупателем вывоза (выборки) Товара более – 5 (пяти) календарных дней Продавец не гарантирует наличия указанного Товара на складе и имеет право отказаться от поставки данной партии покупателю с последующим возвратом денежных средств по письменному требованию покупателя, но с удержанием сумм штрафных санкций согласно пунктам: 5.2., 5.5. и 5.6. настоящего Договора либо перенести сроки поставки в одностороннем порядке, что не освобождает Покупателя от уплаты штрафных санкций по письменному требования Продавца.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5.7. В случае если Покупатель не осуществит разгрузку автотранспорта Продавца в течение 2-х часов с момента прибытия автотранспорта на объект Покупателя, Покупатель выплачивает пени в размере 900 руб. за каждый час задержки.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5.8. При доставке Товара одновременно более чем из десяти пунктов наименований Покупателем производится доплата за погрузочные работы в размере 300 руб. за каждый пункт наименования Товара, начиная с одиннадцатого пункта.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5.9. Покупатель по требованию продавца полностью возмещает все подтвержденные убытки, понесенные продавцом из-за неправильного и (или) несвоевременного сообщения отгрузочных реквизитов грузополучателей продукции.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5.10. В случае нарушения любой из Сторон условий настоящего Договора, за несоблюдение которых настоящим Договором предусмотрены штрафные санкции, любая из сторон вправе, но не обязана требовать с виновной Стороны выплаты штрафных санкций, предусмотренных вышеуказанными пунктами ответственности Сторон. Требования должны быть предъявлены в письменной форме.</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5.11. Предъявление требований об уплате штрафных санкций непосредственно в исковом заявлении является соблюдением письменной формы требования, предусмотренной ч. 1 настоящего пункта.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5.12. Стороны определили, что размер неустойки, установленный настоящим Договором в качестве мер ответственности, не является завышенным и определен исходя из взаимных интересов Сторон по обеспечению надлежащего исполнения обязательств.</w:t>
              <w:br/>
              <w:t>
</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center"/>
              <w:rPr>
                <w:rFonts w:ascii="Times New Roman" w:hAnsi="Times New Roman"/>
                <w:b/>
                <w:sz w:val="22"/>
                <w:szCs w:val="22"/>
              </w:rPr>
            </w:pPr>
            <w:r>
              <w:rPr>
                <w:rFonts w:ascii="Times New Roman" w:hAnsi="Times New Roman"/>
                <w:b/>
                <w:sz w:val="22"/>
                <w:szCs w:val="22"/>
              </w:rPr>
              <w:t>6. СРОК ДЕЙСТВИЯ ДОГОВОРА И ИНЫЕ УСЛОВИЯ</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6.1. Настоящий договор вступает в силу с даты его подписания и действует до 31 декабря 2021г. Если ни одна из Сторон за 15 (пятнадцать) дней до истечения срока действия, Договора не заявит другой Стороне намерения о прекращении его действия, Договор считается автоматически пролонгированным на срок до окончания каждого последующего календарного года на тех же условиях, до тех пор, пока Продавец или Покупатель письменно не уведомит другую сторону о прекращении срока действия договора. Пролонгация Договора может осуществляться неограниченное количество раз.</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6.2. При поставке Товара допускается отклонение ± 10% от количества Товара,  согласованного со сторонами.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6.3. Окончательные расчеты за фактически поставленное количество Товара производиться в срок, указанный в п.4.1. и 4.2. настоящего договора. Если продукция была оплачена предварительно, то окончательные  расчеты за фактически поставленное количество Товара производиться не позднее 10 (десять) календарных дней с момента поставки.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6.4. С момента подписания настоящего договора, лицо подписавшее договор дает согласие на обработку данных о Покупателе, в том числе персональных данных участников покупателя. Исполнительного органа Покупателя, а также лица, подписавшего договор. Данное согласие дается на все виды информационных и торговых баз Продавца. Персональные данные не подлежат публикации в открытых источниках и средствах массовой информации.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6.5. Стороны обязуются соблюдать конфиденциальность в отношении условий настоящего Договора, касающегося его участников, цены и количества товара, а также общей суммы Договора и соглашений к нему. Защита конфиденциальной информации, которая получена или может быть получена при заключении и исполнении настоящего Договора, предоставляет собой принятие сторонами мер, предусмотренных законодательством, внутренними актами Сторон и настоящим Договором,  направленных на предотвращение и пресечение не правомерного доступа, модифицирования, копирования, предоставления, распространения такой информации.</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6.6. Стороны договорились, что переданные факсимильной связью спецификации и дополнительные соглашения к настоящему договору признаются юридически значимыми вплоть до обмена оригиналами таких документов. Срок предоставления оригинала документов устанавливается сторонами в – 15 (пятнадцать) календарных дней.</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6.7. Покупатель не вправе передавать свои права и обязанности настоящему Договору третьи лицам, за исключением своих правопреемников, без письменного согласия Продавца.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6.8. 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случае невозможности разрешить спор путем переговоров обязательным до обращения в суд является предъявление претензии (письменного предложения о добровольном урегулировании спора). Претензия направляется по юридическому и почтовому/фактическому адресу (если такой имеется) стороны по настоящему договору.</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Срок рассмотрения претензии и направления ответа 7 (семь) календарных дней, с даты получения претензии. Если претензия оставлена без рассмотрения, а также в случае отказа в её удовлетворении (полного или частичного), сторона, направившая претензию, в течение 7 (семи) календарных дней со дня получения претензии другой стороной вправе передать спор на рассмотрение в арбитражный суд города Москва.</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6.9. Все вопросы, не урегулированные настоящим договором, а также споры сторон, возникающие в ходе его исполнения, подлежат разрешению в соответствии с законодательством Российской Федерации. Арбитражные споры подлежат разрешению в Арбитражном суде г. Москвы.</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6.10. Договор состоит из – 4 (четырех) страниц и составлен в 2 (двух) экземплярах, имеющих одинаковую юридическую силу, по одному для каждой из сторон.</w:t>
              <w:br/>
              <w:t>
</w:t>
            </w:r>
          </w:p>
        </w:tc>
      </w:tr>
      <w:tr>
        <w:trPr>
          <w:trHeight w:val="40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11552" w:type="dxa"/>
            <w:gridSpan w:val="6"/>
            <w:shd w:val="clear" w:color="FFFFFF" w:fill="auto"/>
            <w:textDirection w:val="lrTb"/>
            <w:vAlign w:val="bottom"/>
          </w:tcPr>
          <w:p>
            <w:pPr>
              <w:wordWrap w:val="1"/>
              <w:jc w:val="center"/>
              <w:rPr>
                <w:rFonts w:ascii="Times New Roman" w:hAnsi="Times New Roman"/>
                <w:b/>
                <w:sz w:val="22"/>
                <w:szCs w:val="22"/>
              </w:rPr>
            </w:pPr>
            <w:r>
              <w:rPr>
                <w:rFonts w:ascii="Times New Roman" w:hAnsi="Times New Roman"/>
                <w:b/>
                <w:sz w:val="22"/>
                <w:szCs w:val="22"/>
              </w:rPr>
              <w:t>7. АДРЕС И РЕКВИЗИТЫ СТОРОН</w:t>
            </w:r>
          </w:p>
        </w:tc>
      </w:tr>
      <w:tr>
        <w:trPr>
          <w:trHeight w:val="60" w:hRule="atLeast"/>
        </w:trPr>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c>
          <w:tcPr>
            <w:tcW w:w="5250" w:type="dxa"/>
            <w:shd w:val="clear" w:color="FFFFFF" w:fill="auto"/>
            <w:textDirection w:val="lrTb"/>
            <w:vAlign w:val="bottom"/>
          </w:tcPr>
          <w:p>
            <w:pPr>
              <w:wordWrap w:val="1"/>
              <w:rPr>
                <w:rFonts w:ascii="Times New Roman" w:hAnsi="Times New Roman"/>
                <w:sz w:val="22"/>
                <w:szCs w:val="22"/>
              </w:rPr>
            </w:pPr>
          </w:p>
        </w:tc>
        <w:tc>
          <w:tcPr>
            <w:tcW w:w="263" w:type="dxa"/>
            <w:shd w:val="clear" w:color="FFFFFF" w:fill="auto"/>
            <w:textDirection w:val="lrTb"/>
            <w:vAlign w:val="bottom"/>
          </w:tcPr>
          <w:p>
            <w:pPr>
              <w:wordWrap w:val="1"/>
              <w:rPr>
                <w:rFonts w:ascii="Times New Roman" w:hAnsi="Times New Roman"/>
                <w:sz w:val="22"/>
                <w:szCs w:val="22"/>
              </w:rPr>
            </w:pPr>
          </w:p>
        </w:tc>
      </w:tr>
      <w:tr>
        <w:trPr>
          <w:trHeight w:val="50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top w:val="single" w:sz="5" w:space="0" w:color="auto"/>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tcBorders>
              <w:top w:val="single" w:sz="5" w:space="0" w:color="auto"/>
            </w:tcBorders>
            <w:shd w:val="clear" w:color="FFFFFF" w:fill="auto"/>
            <w:textDirection w:val="lrTb"/>
            <w:vAlign w:val="center"/>
          </w:tcPr>
          <w:p>
            <w:pPr>
              <w:wordWrap w:val="1"/>
              <w:jc w:val="center"/>
              <w:rPr>
                <w:rFonts w:ascii="Times New Roman" w:hAnsi="Times New Roman"/>
                <w:b/>
                <w:sz w:val="22"/>
                <w:szCs w:val="22"/>
              </w:rPr>
            </w:pPr>
            <w:r>
              <w:rPr>
                <w:rFonts w:ascii="Times New Roman" w:hAnsi="Times New Roman"/>
                <w:b/>
                <w:sz w:val="22"/>
                <w:szCs w:val="22"/>
              </w:rPr>
              <w:t>Поставщик</w:t>
            </w:r>
          </w:p>
        </w:tc>
        <w:tc>
          <w:tcPr>
            <w:tcW w:w="263" w:type="dxa"/>
            <w:tcBorders>
              <w:top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263" w:type="dxa"/>
            <w:tcBorders>
              <w:top w:val="single" w:sz="5" w:space="0" w:color="auto"/>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tcBorders>
              <w:top w:val="single" w:sz="5" w:space="0" w:color="auto"/>
            </w:tcBorders>
            <w:shd w:val="clear" w:color="FFFFFF" w:fill="auto"/>
            <w:textDirection w:val="lrTb"/>
            <w:vAlign w:val="center"/>
          </w:tcPr>
          <w:p>
            <w:pPr>
              <w:wordWrap w:val="1"/>
              <w:jc w:val="center"/>
              <w:rPr>
                <w:rFonts w:ascii="Times New Roman" w:hAnsi="Times New Roman"/>
                <w:b/>
                <w:sz w:val="22"/>
                <w:szCs w:val="22"/>
              </w:rPr>
            </w:pPr>
            <w:r>
              <w:rPr>
                <w:rFonts w:ascii="Times New Roman" w:hAnsi="Times New Roman"/>
                <w:b/>
                <w:sz w:val="22"/>
                <w:szCs w:val="22"/>
              </w:rPr>
              <w:t>Покупатель</w:t>
            </w:r>
          </w:p>
        </w:tc>
        <w:tc>
          <w:tcPr>
            <w:tcW w:w="263" w:type="dxa"/>
            <w:tcBorders>
              <w:top w:val="single" w:sz="5" w:space="0" w:color="auto"/>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400" w:hRule="atLeast"/>
        </w:trPr>
        <w:tc>
          <w:tcPr>
            <w:tcW w:w="263" w:type="dxa"/>
            <w:shd w:val="clear" w:color="FFFFFF" w:fill="auto"/>
            <w:textDirection w:val="lrTb"/>
            <w:vAlign w:val="center"/>
          </w:tcPr>
          <w:p>
            <w:pPr>
              <w:wordWrap w:val="1"/>
              <w:rPr>
                <w:rFonts w:ascii="Times New Roman" w:hAnsi="Times New Roman"/>
                <w:sz w:val="20"/>
                <w:szCs w:val="20"/>
              </w:rPr>
            </w:pPr>
          </w:p>
        </w:tc>
        <w:tc>
          <w:tcPr>
            <w:tcW w:w="263" w:type="dxa"/>
            <w:tcBorders>
              <w:top w:val="single" w:sz="5" w:space="0" w:color="auto"/>
              <w:left w:val="single" w:sz="5" w:space="0" w:color="auto"/>
            </w:tcBorders>
            <w:shd w:val="clear" w:color="FFFFFF" w:fill="auto"/>
            <w:textDirection w:val="lrTb"/>
            <w:vAlign w:val="center"/>
          </w:tcPr>
          <w:p>
            <w:pPr>
              <w:wordWrap w:val="1"/>
              <w:jc w:val="left"/>
              <w:rPr>
                <w:rFonts w:ascii="Times New Roman" w:hAnsi="Times New Roman"/>
                <w:sz w:val="22"/>
                <w:szCs w:val="22"/>
              </w:rPr>
            </w:pPr>
          </w:p>
        </w:tc>
        <w:tc>
          <w:tcPr>
            <w:tcW w:w="5250" w:type="dxa"/>
            <w:tcBorders>
              <w:top w:val="single" w:sz="5" w:space="0" w:color="auto"/>
            </w:tcBorders>
            <w:shd w:val="clear" w:color="FFFFFF" w:fill="auto"/>
            <w:textDirection w:val="lrTb"/>
            <w:vAlign w:val="center"/>
          </w:tcPr>
          <w:p>
            <w:pPr>
              <w:wordWrap w:val="1"/>
              <w:jc w:val="left"/>
              <w:rPr>
                <w:rFonts w:ascii="Times New Roman" w:hAnsi="Times New Roman"/>
                <w:b/>
                <w:sz w:val="22"/>
                <w:szCs w:val="22"/>
              </w:rPr>
            </w:pPr>
            <w:r>
              <w:rPr>
                <w:rFonts w:ascii="Times New Roman" w:hAnsi="Times New Roman"/>
                <w:b/>
                <w:sz w:val="22"/>
                <w:szCs w:val="22"/>
              </w:rPr>
              <w:t>ООО "ПКФ "МЕТИНВЕСТ-СЕРВИС"</w:t>
            </w:r>
          </w:p>
        </w:tc>
        <w:tc>
          <w:tcPr>
            <w:tcW w:w="263" w:type="dxa"/>
            <w:tcBorders>
              <w:top w:val="single" w:sz="5" w:space="0" w:color="auto"/>
            </w:tcBorders>
            <w:shd w:val="clear" w:color="FFFFFF" w:fill="auto"/>
            <w:textDirection w:val="lrTb"/>
            <w:vAlign w:val="center"/>
          </w:tcPr>
          <w:p>
            <w:pPr>
              <w:wordWrap w:val="1"/>
              <w:jc w:val="left"/>
              <w:rPr>
                <w:rFonts w:ascii="Times New Roman" w:hAnsi="Times New Roman"/>
                <w:sz w:val="22"/>
                <w:szCs w:val="22"/>
              </w:rPr>
            </w:pPr>
          </w:p>
        </w:tc>
        <w:tc>
          <w:tcPr>
            <w:tcW w:w="263" w:type="dxa"/>
            <w:tcBorders>
              <w:top w:val="single" w:sz="5" w:space="0" w:color="auto"/>
              <w:left w:val="single" w:sz="5" w:space="0" w:color="auto"/>
            </w:tcBorders>
            <w:shd w:val="clear" w:color="FFFFFF" w:fill="auto"/>
            <w:textDirection w:val="lrTb"/>
            <w:vAlign w:val="center"/>
          </w:tcPr>
          <w:p>
            <w:pPr>
              <w:wordWrap w:val="1"/>
              <w:jc w:val="left"/>
              <w:rPr>
                <w:rFonts w:ascii="Times New Roman" w:hAnsi="Times New Roman"/>
                <w:sz w:val="22"/>
                <w:szCs w:val="22"/>
              </w:rPr>
            </w:pPr>
          </w:p>
        </w:tc>
        <w:tc>
          <w:tcPr>
            <w:tcW w:w="5250" w:type="dxa"/>
            <w:tcBorders>
              <w:top w:val="single" w:sz="5" w:space="0" w:color="auto"/>
            </w:tcBorders>
            <w:shd w:val="clear" w:color="FFFFFF" w:fill="auto"/>
            <w:textDirection w:val="lrTb"/>
            <w:vAlign w:val="center"/>
          </w:tcPr>
          <w:p>
            <w:pPr>
              <w:wordWrap w:val="1"/>
              <w:jc w:val="left"/>
              <w:rPr>
                <w:rFonts w:ascii="Times New Roman" w:hAnsi="Times New Roman"/>
                <w:b/>
                <w:sz w:val="22"/>
                <w:szCs w:val="22"/>
              </w:rPr>
            </w:pPr>
            <w:r>
              <w:rPr>
                <w:rFonts w:ascii="Times New Roman" w:hAnsi="Times New Roman"/>
                <w:b/>
                <w:sz w:val="22"/>
                <w:szCs w:val="22"/>
              </w:rPr>
              <w:t>ООО "_____________________"</w:t>
            </w:r>
          </w:p>
        </w:tc>
        <w:tc>
          <w:tcPr>
            <w:tcW w:w="263" w:type="dxa"/>
            <w:tcBorders>
              <w:top w:val="single" w:sz="5" w:space="0" w:color="auto"/>
              <w:right w:val="single" w:sz="5" w:space="0" w:color="auto"/>
            </w:tcBorders>
            <w:shd w:val="clear" w:color="FFFFFF" w:fill="auto"/>
            <w:textDirection w:val="lrTb"/>
            <w:vAlign w:val="center"/>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ОГРН 1167746166081</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ОГРН  </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ИНН 7721452768. КПП 772101001</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ИНН _______________. КПП ___________</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Юр. адрес: 109428, Москва г, Рязанский пр-кт, дом № 10, строение 18, комната А1.1</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Юр. адрес: ______________________________</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Почтовый адрес: 109428, Москва г, Рязанский пр-кт, дом № 10, строение 18, комната А1.1</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Почтовый адрес: _________________________</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Телефон: 8 (495) 272-07-55</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Телефон: </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р/с № 40702810700000066780</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р/с № _______________________</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в ФИЛИАЛ "ЦЕНТРАЛЬНЫЙ" БАНКА ВТБ (ПАО)</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в ___________________________________</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к/с № 30101810145250000411</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к/с № _____________________________________</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БИК 044525411</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БИК _________________________________</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E-mail: </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E-mail: </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300" w:hRule="atLeast"/>
        </w:trPr>
        <w:tc>
          <w:tcPr>
            <w:tcW w:w="263" w:type="dxa"/>
            <w:shd w:val="clear" w:color="FFFFFF" w:fill="auto"/>
            <w:textDirection w:val="lrTb"/>
            <w:vAlign w:val="center"/>
          </w:tcPr>
          <w:p>
            <w:pPr>
              <w:wordWrap w:val="1"/>
              <w:rPr>
                <w:rFonts w:ascii="Times New Roman" w:hAnsi="Times New Roman"/>
                <w:sz w:val="20"/>
                <w:szCs w:val="20"/>
              </w:rPr>
            </w:pPr>
          </w:p>
        </w:tc>
        <w:tc>
          <w:tcPr>
            <w:tcW w:w="263" w:type="dxa"/>
            <w:tcBorders>
              <w:top w:val="single" w:sz="5" w:space="0" w:color="auto"/>
              <w:left w:val="single" w:sz="5" w:space="0" w:color="auto"/>
            </w:tcBorders>
            <w:shd w:val="clear" w:color="FFFFFF" w:fill="auto"/>
            <w:textDirection w:val="lrTb"/>
            <w:vAlign w:val="center"/>
          </w:tcPr>
          <w:p>
            <w:pPr>
              <w:wordWrap w:val="1"/>
              <w:jc w:val="left"/>
              <w:rPr>
                <w:rFonts w:ascii="Times New Roman" w:hAnsi="Times New Roman"/>
                <w:sz w:val="22"/>
                <w:szCs w:val="22"/>
              </w:rPr>
            </w:pPr>
          </w:p>
        </w:tc>
        <w:tc>
          <w:tcPr>
            <w:tcW w:w="5250" w:type="dxa"/>
            <w:tcBorders>
              <w:top w:val="single" w:sz="5" w:space="0" w:color="auto"/>
            </w:tcBorders>
            <w:shd w:val="clear" w:color="FFFFFF" w:fill="auto"/>
            <w:textDirection w:val="lrTb"/>
            <w:vAlign w:val="center"/>
          </w:tcPr>
          <w:p>
            <w:pPr>
              <w:wordWrap w:val="1"/>
              <w:jc w:val="center"/>
              <w:rPr>
                <w:rFonts w:ascii="Times New Roman" w:hAnsi="Times New Roman"/>
                <w:b/>
                <w:sz w:val="22"/>
                <w:szCs w:val="22"/>
              </w:rPr>
            </w:pPr>
            <w:r>
              <w:rPr>
                <w:rFonts w:ascii="Times New Roman" w:hAnsi="Times New Roman"/>
                <w:b/>
                <w:sz w:val="22"/>
                <w:szCs w:val="22"/>
              </w:rPr>
              <w:t>Генеральный директор</w:t>
            </w:r>
          </w:p>
        </w:tc>
        <w:tc>
          <w:tcPr>
            <w:tcW w:w="263" w:type="dxa"/>
            <w:tcBorders>
              <w:top w:val="single" w:sz="5" w:space="0" w:color="auto"/>
            </w:tcBorders>
            <w:shd w:val="clear" w:color="FFFFFF" w:fill="auto"/>
            <w:textDirection w:val="lrTb"/>
            <w:vAlign w:val="center"/>
          </w:tcPr>
          <w:p>
            <w:pPr>
              <w:wordWrap w:val="1"/>
              <w:jc w:val="left"/>
              <w:rPr>
                <w:rFonts w:ascii="Times New Roman" w:hAnsi="Times New Roman"/>
                <w:sz w:val="22"/>
                <w:szCs w:val="22"/>
              </w:rPr>
            </w:pPr>
          </w:p>
        </w:tc>
        <w:tc>
          <w:tcPr>
            <w:tcW w:w="263" w:type="dxa"/>
            <w:tcBorders>
              <w:top w:val="single" w:sz="5" w:space="0" w:color="auto"/>
              <w:left w:val="single" w:sz="5" w:space="0" w:color="auto"/>
            </w:tcBorders>
            <w:shd w:val="clear" w:color="FFFFFF" w:fill="auto"/>
            <w:textDirection w:val="lrTb"/>
            <w:vAlign w:val="center"/>
          </w:tcPr>
          <w:p>
            <w:pPr>
              <w:wordWrap w:val="1"/>
              <w:jc w:val="left"/>
              <w:rPr>
                <w:rFonts w:ascii="Times New Roman" w:hAnsi="Times New Roman"/>
                <w:sz w:val="22"/>
                <w:szCs w:val="22"/>
              </w:rPr>
            </w:pPr>
          </w:p>
        </w:tc>
        <w:tc>
          <w:tcPr>
            <w:tcW w:w="5250" w:type="dxa"/>
            <w:tcBorders>
              <w:top w:val="single" w:sz="5" w:space="0" w:color="auto"/>
            </w:tcBorders>
            <w:shd w:val="clear" w:color="FFFFFF" w:fill="auto"/>
            <w:textDirection w:val="lrTb"/>
            <w:vAlign w:val="center"/>
          </w:tcPr>
          <w:p>
            <w:pPr>
              <w:wordWrap w:val="1"/>
              <w:jc w:val="center"/>
              <w:rPr>
                <w:rFonts w:ascii="Times New Roman" w:hAnsi="Times New Roman"/>
                <w:b/>
                <w:sz w:val="22"/>
                <w:szCs w:val="22"/>
              </w:rPr>
            </w:pPr>
            <w:r>
              <w:rPr>
                <w:rFonts w:ascii="Times New Roman" w:hAnsi="Times New Roman"/>
                <w:b/>
                <w:sz w:val="22"/>
                <w:szCs w:val="22"/>
              </w:rPr>
              <w:t>Генеральный директор</w:t>
            </w:r>
          </w:p>
        </w:tc>
        <w:tc>
          <w:tcPr>
            <w:tcW w:w="263" w:type="dxa"/>
            <w:tcBorders>
              <w:top w:val="single" w:sz="5" w:space="0" w:color="auto"/>
              <w:right w:val="single" w:sz="5" w:space="0" w:color="auto"/>
            </w:tcBorders>
            <w:shd w:val="clear" w:color="FFFFFF" w:fill="auto"/>
            <w:textDirection w:val="lrTb"/>
            <w:vAlign w:val="center"/>
          </w:tcPr>
          <w:p>
            <w:pPr>
              <w:wordWrap w:val="1"/>
              <w:jc w:val="left"/>
              <w:rPr>
                <w:rFonts w:ascii="Times New Roman" w:hAnsi="Times New Roman"/>
                <w:sz w:val="22"/>
                <w:szCs w:val="22"/>
              </w:rPr>
            </w:pPr>
          </w:p>
        </w:tc>
      </w:tr>
      <w:tr>
        <w:trPr>
          <w:trHeight w:val="80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____________________/ Гагуа Д. М.</w:t>
            </w:r>
          </w:p>
        </w:tc>
        <w:tc>
          <w:tcPr>
            <w:tcW w:w="263" w:type="dxa"/>
            <w:shd w:val="clear" w:color="FFFFFF" w:fill="auto"/>
            <w:textDirection w:val="lrTb"/>
            <w:vAlign w:val="top"/>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top"/>
          </w:tcPr>
          <w:p>
            <w:pPr>
              <w:wordWrap w:val="1"/>
              <w:jc w:val="left"/>
              <w:rPr>
                <w:rFonts w:ascii="Times New Roman" w:hAnsi="Times New Roman"/>
                <w:sz w:val="22"/>
                <w:szCs w:val="22"/>
              </w:rPr>
            </w:pPr>
          </w:p>
        </w:tc>
        <w:tc>
          <w:tcPr>
            <w:tcW w:w="5250" w:type="dxa"/>
            <w:shd w:val="clear" w:color="FFFFFF" w:fill="auto"/>
            <w:textDirection w:val="lrTb"/>
            <w:vAlign w:val="top"/>
          </w:tcPr>
          <w:p>
            <w:pPr>
              <w:wordWrap w:val="1"/>
              <w:jc w:val="left"/>
              <w:rPr>
                <w:rFonts w:ascii="Times New Roman" w:hAnsi="Times New Roman"/>
                <w:sz w:val="22"/>
                <w:szCs w:val="22"/>
              </w:rPr>
            </w:pPr>
            <w:r>
              <w:rPr>
                <w:rFonts w:ascii="Times New Roman" w:hAnsi="Times New Roman"/>
                <w:sz w:val="22"/>
                <w:szCs w:val="22"/>
              </w:rPr>
              <w:t>____________________/ ____________</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6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bottom"/>
          </w:tcPr>
          <w:p>
            <w:pPr>
              <w:wordWrap w:val="1"/>
              <w:jc w:val="left"/>
              <w:rPr>
                <w:rFonts w:ascii="Times New Roman" w:hAnsi="Times New Roman"/>
                <w:sz w:val="22"/>
                <w:szCs w:val="22"/>
              </w:rPr>
            </w:pPr>
            <w:r>
              <w:rPr>
                <w:rFonts w:ascii="Times New Roman" w:hAnsi="Times New Roman"/>
                <w:sz w:val="22"/>
                <w:szCs w:val="22"/>
              </w:rPr>
              <w:t>м. п.</w:t>
            </w:r>
          </w:p>
        </w:tc>
        <w:tc>
          <w:tcPr>
            <w:tcW w:w="263" w:type="dxa"/>
            <w:shd w:val="clear" w:color="FFFFFF" w:fill="auto"/>
            <w:textDirection w:val="lrTb"/>
            <w:vAlign w:val="bottom"/>
          </w:tcPr>
          <w:p>
            <w:pPr>
              <w:wordWrap w:val="1"/>
              <w:jc w:val="left"/>
              <w:rPr>
                <w:rFonts w:ascii="Times New Roman" w:hAnsi="Times New Roman"/>
                <w:sz w:val="22"/>
                <w:szCs w:val="22"/>
              </w:rPr>
            </w:pPr>
          </w:p>
        </w:tc>
        <w:tc>
          <w:tcPr>
            <w:tcW w:w="263" w:type="dxa"/>
            <w:tcBorders>
              <w:left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shd w:val="clear" w:color="FFFFFF" w:fill="auto"/>
            <w:textDirection w:val="lrTb"/>
            <w:vAlign w:val="bottom"/>
          </w:tcPr>
          <w:p>
            <w:pPr>
              <w:wordWrap w:val="1"/>
              <w:jc w:val="left"/>
              <w:rPr>
                <w:rFonts w:ascii="Times New Roman" w:hAnsi="Times New Roman"/>
                <w:sz w:val="22"/>
                <w:szCs w:val="22"/>
              </w:rPr>
            </w:pPr>
            <w:r>
              <w:rPr>
                <w:rFonts w:ascii="Times New Roman" w:hAnsi="Times New Roman"/>
                <w:sz w:val="22"/>
                <w:szCs w:val="22"/>
              </w:rPr>
              <w:t>м. п.</w:t>
            </w:r>
          </w:p>
        </w:tc>
        <w:tc>
          <w:tcPr>
            <w:tcW w:w="263" w:type="dxa"/>
            <w:tcBorders>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r>
        <w:trPr>
          <w:trHeight w:val="1400" w:hRule="atLeast"/>
        </w:trPr>
        <w:tc>
          <w:tcPr>
            <w:tcW w:w="263" w:type="dxa"/>
            <w:shd w:val="clear" w:color="FFFFFF" w:fill="auto"/>
            <w:textDirection w:val="lrTb"/>
            <w:vAlign w:val="bottom"/>
          </w:tcPr>
          <w:p>
            <w:pPr>
              <w:wordWrap w:val="1"/>
              <w:rPr>
                <w:rFonts w:ascii="Times New Roman" w:hAnsi="Times New Roman"/>
                <w:sz w:val="20"/>
                <w:szCs w:val="20"/>
              </w:rPr>
            </w:pPr>
          </w:p>
        </w:tc>
        <w:tc>
          <w:tcPr>
            <w:tcW w:w="263" w:type="dxa"/>
            <w:tcBorders>
              <w:left w:val="single" w:sz="5" w:space="0" w:color="auto"/>
              <w:bottom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tcBorders>
              <w:bottom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263" w:type="dxa"/>
            <w:tcBorders>
              <w:bottom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263" w:type="dxa"/>
            <w:tcBorders>
              <w:left w:val="single" w:sz="5" w:space="0" w:color="auto"/>
              <w:bottom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5250" w:type="dxa"/>
            <w:tcBorders>
              <w:bottom w:val="single" w:sz="5" w:space="0" w:color="auto"/>
            </w:tcBorders>
            <w:shd w:val="clear" w:color="FFFFFF" w:fill="auto"/>
            <w:textDirection w:val="lrTb"/>
            <w:vAlign w:val="bottom"/>
          </w:tcPr>
          <w:p>
            <w:pPr>
              <w:wordWrap w:val="1"/>
              <w:jc w:val="left"/>
              <w:rPr>
                <w:rFonts w:ascii="Times New Roman" w:hAnsi="Times New Roman"/>
                <w:sz w:val="22"/>
                <w:szCs w:val="22"/>
              </w:rPr>
            </w:pPr>
          </w:p>
        </w:tc>
        <w:tc>
          <w:tcPr>
            <w:tcW w:w="263" w:type="dxa"/>
            <w:tcBorders>
              <w:bottom w:val="single" w:sz="5" w:space="0" w:color="auto"/>
              <w:right w:val="single" w:sz="5" w:space="0" w:color="auto"/>
            </w:tcBorders>
            <w:shd w:val="clear" w:color="FFFFFF" w:fill="auto"/>
            <w:textDirection w:val="lrTb"/>
            <w:vAlign w:val="bottom"/>
          </w:tcPr>
          <w:p>
            <w:pPr>
              <w:wordWrap w:val="1"/>
              <w:jc w:val="left"/>
              <w:rPr>
                <w:rFonts w:ascii="Times New Roman" w:hAnsi="Times New Roman"/>
                <w:sz w:val="22"/>
                <w:szCs w:val="22"/>
              </w:rPr>
            </w:pPr>
          </w:p>
        </w:tc>
      </w:tr>
    </w:tbl>
    <w:sectPr>
      <w:footerReference w:type="default" r:id="rId9"/>
      <w:footerReference w:type="first" r:id="rId11"/>
      <w:pgSz w:w="11907" w:h="16839" w:orient="portrait"/>
      <w:pgMar w:top="850" w:right="567" w:bottom="1134" w:left="567"/>
    </w:sectPr>
  </w:body>
</w:document>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sdt>
    <w:sdtPr>
      <w:docPartObj>
        <w:docPartGallery w:val="Page Numbers (Top of Page)"/>
      </w:docPartObj>
    </w:sdtPr>
    <w:sdtContent>
      <w:p>
        <w:pPr>
          <w:pStyle w:val="a4"/>
        </w:pPr>
        <w:r>
          <w:rPr>
            <w:color w:val="000000"/>
            <w:rFonts w:ascii="TimesNewRoman" w:hAnsi="TimesNewRoman"/>
            <w:sz w:val="20"/>
          </w:rPr>
          <w:t xml:space="preserve">_____________________</w:t>
        </w:r>
        <w:r>
          <w:rPr>
            <w:color w:val="000000"/>
            <w:rFonts w:ascii="TimesNewRoman" w:hAnsi="TimesNewRoman"/>
            <w:sz w:val="20"/>
          </w:rPr>
          <w:t xml:space="preserve">       (поставщик)</w:t>
        </w:r>
        <w:r>
          <w:tab/>
        </w:r>
        <w:r>
          <w:ptab w:alignment="center" w:relativeTo="margin" w:leader="none"/>
        </w:r>
        <w:r>
          <w:rPr>
            <w:color w:val="000000"/>
            <w:rFonts w:ascii="TimesNewRoman" w:hAnsi="TimesNewRoman"/>
            <w:sz w:val="20"/>
          </w:rPr>
          <w:r>
            <w:rPr>
              <w:rFonts w:ascii="TimesNewRoman" w:hAnsi="TimesNewRoman"/>
              <w:sz w:val="20"/>
              <w:fldChar w:fldCharType="begin"/>
            </w:rPr>
          </w:r>
          <w:r>
            <w:rPr>
              <w:rFonts w:ascii="TimesNewRoman" w:hAnsi="TimesNewRoman"/>
              <w:sz w:val="20"/>
              <w:instrText> PAGE   \* MERGEFORMAT </w:instrText>
            </w:rPr>
          </w:r>
          <w:r>
            <w:rPr>
              <w:rFonts w:ascii="TimesNewRoman" w:hAnsi="TimesNewRoman"/>
              <w:sz w:val="20"/>
              <w:fldChar w:fldCharType="separate"/>
            </w:rPr>
          </w:r>
          <w:r>
            <w:rPr>
              <w:rFonts w:ascii="TimesNewRoman" w:hAnsi="TimesNewRoman"/>
              <w:sz w:val="20"/>
              <w:fldChar w:fldCharType="end"/>
            </w:rPr>
          </w:r>
        </w:r>
        <w:r>
          <w:tab/>
        </w:r>
        <w:r>
          <w:ptab w:alignment="right" w:relativeTo="margin" w:leader="none"/>
        </w:r>
        <w:r>
          <w:rPr>
            <w:color w:val="000000"/>
            <w:rFonts w:ascii="TimesNewRoman" w:hAnsi="TimesNewRoman"/>
            <w:sz w:val="20"/>
          </w:rPr>
          <w:t xml:space="preserve">_____________________</w:t>
        </w:r>
        <w:r>
          <w:rPr>
            <w:color w:val="000000"/>
            <w:rFonts w:ascii="TimesNewRoman" w:hAnsi="TimesNewRoman"/>
            <w:sz w:val="20"/>
          </w:rPr>
          <w:t xml:space="preserve">       (покупатель)       </w:t>
        </w:r>
      </w:p>
    </w:sdtContent>
  </w:sdt>
  <w:p>
    <w:pPr>
      <w:pStyle w:val="a4"/>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sdt>
    <w:sdtPr>
      <w:docPartObj>
        <w:docPartGallery w:val="Page Numbers (Top of Page)"/>
      </w:docPartObj>
    </w:sdtPr>
    <w:sdtContent>
      <w:p>
        <w:pPr>
          <w:pStyle w:val="a4"/>
        </w:pPr>
        <w:r>
          <w:rPr>
            <w:color w:val="000000"/>
            <w:rFonts w:ascii="TimesNewRoman" w:hAnsi="TimesNewRoman"/>
            <w:sz w:val="20"/>
          </w:rPr>
          <w:t xml:space="preserve">_____________________</w:t>
        </w:r>
        <w:r>
          <w:rPr>
            <w:color w:val="000000"/>
            <w:rFonts w:ascii="TimesNewRoman" w:hAnsi="TimesNewRoman"/>
            <w:sz w:val="20"/>
          </w:rPr>
          <w:t xml:space="preserve">       (поставщик)</w:t>
        </w:r>
        <w:r>
          <w:tab/>
        </w:r>
        <w:r>
          <w:ptab w:alignment="center" w:relativeTo="margin" w:leader="none"/>
        </w:r>
        <w:r>
          <w:rPr>
            <w:color w:val="000000"/>
            <w:rFonts w:ascii="TimesNewRoman" w:hAnsi="TimesNewRoman"/>
            <w:sz w:val="20"/>
          </w:rPr>
          <w:r>
            <w:rPr>
              <w:rFonts w:ascii="TimesNewRoman" w:hAnsi="TimesNewRoman"/>
              <w:sz w:val="20"/>
              <w:fldChar w:fldCharType="begin"/>
            </w:rPr>
          </w:r>
          <w:r>
            <w:rPr>
              <w:rFonts w:ascii="TimesNewRoman" w:hAnsi="TimesNewRoman"/>
              <w:sz w:val="20"/>
              <w:instrText> PAGE   \* MERGEFORMAT </w:instrText>
            </w:rPr>
          </w:r>
          <w:r>
            <w:rPr>
              <w:rFonts w:ascii="TimesNewRoman" w:hAnsi="TimesNewRoman"/>
              <w:sz w:val="20"/>
              <w:fldChar w:fldCharType="separate"/>
            </w:rPr>
          </w:r>
          <w:r>
            <w:rPr>
              <w:rFonts w:ascii="TimesNewRoman" w:hAnsi="TimesNewRoman"/>
              <w:sz w:val="20"/>
              <w:fldChar w:fldCharType="end"/>
            </w:rPr>
          </w:r>
        </w:r>
        <w:r>
          <w:tab/>
        </w:r>
        <w:r>
          <w:ptab w:alignment="right" w:relativeTo="margin" w:leader="none"/>
        </w:r>
        <w:r>
          <w:rPr>
            <w:color w:val="000000"/>
            <w:rFonts w:ascii="TimesNewRoman" w:hAnsi="TimesNewRoman"/>
            <w:sz w:val="20"/>
          </w:rPr>
          <w:t xml:space="preserve">_____________________</w:t>
        </w:r>
        <w:r>
          <w:rPr>
            <w:color w:val="000000"/>
            <w:rFonts w:ascii="TimesNewRoman" w:hAnsi="TimesNewRoman"/>
            <w:sz w:val="20"/>
          </w:rPr>
          <w:t xml:space="preserve">       (покупатель)       </w:t>
        </w:r>
      </w:p>
    </w:sdtContent>
  </w:sdt>
  <w:p>
    <w:pPr>
      <w:pStyle w:val="a4"/>
    </w:pPr>
  </w:p>
</w:ftr>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 w:type="paragraph" w:styleId="rId9">
    <w:name w:val="footer"/>
  </w:style>
  <w:style w:type="paragraph" w:styleId="rId11">
    <w:name w:val="foote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